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15 март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235-2802/2024</w:t>
      </w:r>
      <w:r>
        <w:rPr>
          <w:rFonts w:ascii="Times New Roman" w:eastAsia="Times New Roman" w:hAnsi="Times New Roman" w:cs="Times New Roman"/>
        </w:rPr>
        <w:t xml:space="preserve"> по иску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Центр Альтернативного Финансирования</w:t>
      </w:r>
      <w:r>
        <w:rPr>
          <w:rFonts w:ascii="Times New Roman" w:eastAsia="Times New Roman" w:hAnsi="Times New Roman" w:cs="Times New Roman"/>
        </w:rPr>
        <w:t xml:space="preserve">» к Коневу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ООО «Центр Альтернативного Финансирования» к Коневу </w:t>
      </w:r>
      <w:r>
        <w:rPr>
          <w:rStyle w:val="cat-UserDefinedgrp-1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Конева Никиты Александровича (паспорт </w:t>
      </w:r>
      <w:r>
        <w:rPr>
          <w:rStyle w:val="cat-UserDefinedgrp-1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ООО «Центр Альтернативного </w:t>
      </w:r>
      <w:r>
        <w:rPr>
          <w:rFonts w:ascii="Times New Roman" w:eastAsia="Times New Roman" w:hAnsi="Times New Roman" w:cs="Times New Roman"/>
        </w:rPr>
        <w:t>Финансирования»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4888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4rplc-13">
    <w:name w:val="cat-UserDefined grp-1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